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-428622</wp:posOffset>
            </wp:positionH>
            <wp:positionV relativeFrom="paragraph">
              <wp:posOffset>0</wp:posOffset>
            </wp:positionV>
            <wp:extent cx="1414653" cy="1321435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4653" cy="1321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للمريض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المصاب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بعدوى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الدم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التهاب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حوض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الكلية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بكتيريا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منتجة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لإنزيم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ESBL</w:t>
      </w:r>
    </w:p>
    <w:p w:rsidR="00000000" w:rsidDel="00000000" w:rsidP="00000000" w:rsidRDefault="00000000" w:rsidRPr="00000000" w14:paraId="00000004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العلاج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بيفميسيلينام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pivmecillinam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بالاشتراك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أموكسيسيلين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حمض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كلافولانيك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amoxicillin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klavulansyra</w:t>
      </w:r>
    </w:p>
    <w:p w:rsidR="00000000" w:rsidDel="00000000" w:rsidP="00000000" w:rsidRDefault="00000000" w:rsidRPr="00000000" w14:paraId="00000006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نود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نسألك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ترغب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بحثي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ستجد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أدناه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معلومات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يعنيه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المشروع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؟</w:t>
      </w:r>
    </w:p>
    <w:p w:rsidR="00000000" w:rsidDel="00000000" w:rsidP="00000000" w:rsidRDefault="00000000" w:rsidRPr="00000000" w14:paraId="0000000A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تزداد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حالات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العدوى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بالبكتيريا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المنتجة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لإنزيم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ESBL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اختصار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Extended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Spectrum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Lactamase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</w:t>
      </w:r>
    </w:p>
    <w:p w:rsidR="00000000" w:rsidDel="00000000" w:rsidP="00000000" w:rsidRDefault="00000000" w:rsidRPr="00000000" w14:paraId="0000000C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إنزيمات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بتفكيك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المضادات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الحيوية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البكتيريا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يصعب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علاجها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مقاومتها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الواسعة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للمضادات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الحيوية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خطر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العدوى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الشائعة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مقاومة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المضادات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الحيوية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الإمكانيات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لاستخدام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المضادات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الحيوية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المعروفة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والمستخدمة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الرعاية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الصحية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بأفضل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ممكنة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العلاج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المعتمد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التكميلي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بالحبوب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حالات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تسمم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الإنتان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التهاب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حوض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الكلية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الناجم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بكتيريا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منتجة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ESBL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سيبروفلوكساسين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Ciprofloxacin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تريميثوبريم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سلفاميثوكسازول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Trim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Sulfa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).</w:t>
      </w:r>
    </w:p>
    <w:p w:rsidR="00000000" w:rsidDel="00000000" w:rsidP="00000000" w:rsidRDefault="00000000" w:rsidRPr="00000000" w14:paraId="0000000F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أظهرت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تركيبة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بيفميسيلينام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وأموكسيسيلين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حمض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كلافولانيك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فعالية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ممتازة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البكتيريا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المنتجة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ESBL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المختبر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لدينا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الخبرة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المرضى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التركيبة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المقاومة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واسعة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تتوفر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حبوب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لتحديد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تركيبة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بيفميسيلينام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وأموكسيسيلين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حمض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كلافولانيك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فعالة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بقدر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فعالية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سيبروفلوكساسين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تريميثوبريم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سلفاميثوكسازول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إرتابينيم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Ertapenem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إجراء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إطار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نود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نسألك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ترغب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مشاركتك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طوعية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بالكامل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منطقة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سكونا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Skåne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الجهة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المسؤولة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ستتم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؟</w:t>
      </w:r>
    </w:p>
    <w:p w:rsidR="00000000" w:rsidDel="00000000" w:rsidP="00000000" w:rsidRDefault="00000000" w:rsidRPr="00000000" w14:paraId="00000016">
      <w:pPr>
        <w:bidi w:val="1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توزيعك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عشوائيا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لتلقي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بيفميسيلينام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أموكسيسيلين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حمض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كلافولانيك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تريميثوبريم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سلفاميثوكسازول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سيبروفلوكساسين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إرتابينيم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اختيارك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لمجموعة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بيفميسيلينام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أموكسيسيلين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حمض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كلافولانيك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فستتناول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قرصين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العلاج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بغض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العلاج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اختيارك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إجمالا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العلاج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بالمضاد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الحيوي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الوريد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حساسية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تجاه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مكونات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بيفميسيلينام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وأموكسيسيلين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حمض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كلافولانيك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شائع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اختيارك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للمجموعة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البكتيريا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لديك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مقاومة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لتريميثوبريم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سلفاميثوكسازول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وسيبروفلوكساسين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فستحتاج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الحضور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لتلقي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مضاد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حيوي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وريدي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إرتابينيم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العلاج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الأدوية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باستثناء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سيبروفلوكساسين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العلاج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7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للنساء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سنقوم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بجمع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معلومات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سجلك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الطبي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المستشفى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تعاني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أمراض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الأدوية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تتناولها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العدوى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تطور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حفظ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يتمكن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مخول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ربطها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بهويتك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المتابعة</w:t>
      </w:r>
    </w:p>
    <w:p w:rsidR="00000000" w:rsidDel="00000000" w:rsidP="00000000" w:rsidRDefault="00000000" w:rsidRPr="00000000" w14:paraId="0000001B">
      <w:pPr>
        <w:bidi w:val="1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حوالي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تناول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قرص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مضاد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حيوي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ستتلقى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اتصالا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هاتفيا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ممرضة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لإجراء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مقابلة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هاتف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لموظفي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المستشفى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بديل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المنزل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سيظهر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هاتفك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معروف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 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okänt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nummer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inget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uppringnings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” 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اتصال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تخبر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ممرضة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بنوع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المضاد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الحيوي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اختيارك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سيسألك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تعاني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الحمى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ارتفاع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الحرارة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لديك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حرارة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المنزل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فسيتم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تزويدك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بواحد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المستشفى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المقابلة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بفترة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قصيرة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سنطلب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عينة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وبراز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للمتابعة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المستشفى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المركز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الصحي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Vårdcentral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الفحوصات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مخصصة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لتقييم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تتلقى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نتائجها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تلقائيا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ً.</w:t>
      </w:r>
    </w:p>
    <w:p w:rsidR="00000000" w:rsidDel="00000000" w:rsidP="00000000" w:rsidRDefault="00000000" w:rsidRPr="00000000" w14:paraId="0000001D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يرجى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محاولة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التواصل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الرقم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042-4062350.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عيادة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الأمراض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المعدية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هلسنبوري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Infektionsmottagning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Helsingborg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معلومات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عامة</w:t>
      </w:r>
    </w:p>
    <w:p w:rsidR="00000000" w:rsidDel="00000000" w:rsidP="00000000" w:rsidRDefault="00000000" w:rsidRPr="00000000" w14:paraId="00000022">
      <w:pPr>
        <w:bidi w:val="1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لبياناتي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جمعها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</w:t>
      </w:r>
    </w:p>
    <w:p w:rsidR="00000000" w:rsidDel="00000000" w:rsidP="00000000" w:rsidRDefault="00000000" w:rsidRPr="00000000" w14:paraId="00000024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التعامل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إجاباتك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ونتائجك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تمنع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المخولين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الاطلاع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منطقة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سكونا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Skåne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مسؤولة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بياناتك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للائحة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لحماية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الاتحاد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الأوروبي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GDPR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يحق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مجانا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الاطلاع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المتعلقة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والمستخدمة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وتصحيح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أخطاء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وجدت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بياناتك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تقييد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معالجتها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للحصول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معلومات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التواصل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الرقم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أدناه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مسؤول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حماية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Dataskyddsombud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التواصل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البريد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العنوان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التالي</w:t>
      </w:r>
    </w:p>
    <w:p w:rsidR="00000000" w:rsidDel="00000000" w:rsidP="00000000" w:rsidRDefault="00000000" w:rsidRPr="00000000" w14:paraId="00000026">
      <w:pPr>
        <w:bidi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Region Skåne</w:t>
      </w:r>
    </w:p>
    <w:p w:rsidR="00000000" w:rsidDel="00000000" w:rsidP="00000000" w:rsidRDefault="00000000" w:rsidRPr="00000000" w14:paraId="00000027">
      <w:pPr>
        <w:bidi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291 89 Kristianstad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044- 309 30 00</w:t>
      </w:r>
    </w:p>
    <w:p w:rsidR="00000000" w:rsidDel="00000000" w:rsidP="00000000" w:rsidRDefault="00000000" w:rsidRPr="00000000" w14:paraId="00000029">
      <w:pPr>
        <w:bidi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البريد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الإلكتروني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region@skane.se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راضيا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معالجة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بياناتك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يحق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شكوى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حماية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الخصوصية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Integritetskyddsmyndigheten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الجهة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الرقابية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لضمان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والتأكد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الجهة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الراعية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بحثية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مسؤول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حكومي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بمقارنة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المجمعة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بسجلك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الطبي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مراجع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توقيع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اتفاقية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الإفصاح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الاطلاع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سجلك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الطبي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بتوقيعك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الوثيقة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فإنك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تسمح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الاطلاع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طوعية</w:t>
      </w:r>
    </w:p>
    <w:p w:rsidR="00000000" w:rsidDel="00000000" w:rsidP="00000000" w:rsidRDefault="00000000" w:rsidRPr="00000000" w14:paraId="00000031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مشاركتك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طوعية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تماما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ويمكنك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الانسحاب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إبداء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يؤثر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رعايتك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علاجك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المستقبلي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يشمل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تأمين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المرضى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الإقليمي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زياراتك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المسؤول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1"/>
        </w:rPr>
        <w:t xml:space="preserve">الدراسة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Oskar Ljungquist, Överläkare, PhD  </w:t>
      </w:r>
    </w:p>
    <w:p w:rsidR="00000000" w:rsidDel="00000000" w:rsidP="00000000" w:rsidRDefault="00000000" w:rsidRPr="00000000" w14:paraId="00000036">
      <w:pPr>
        <w:bidi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Infektionsenheten  </w:t>
      </w:r>
    </w:p>
    <w:p w:rsidR="00000000" w:rsidDel="00000000" w:rsidP="00000000" w:rsidRDefault="00000000" w:rsidRPr="00000000" w14:paraId="00000037">
      <w:pPr>
        <w:bidi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Helsingborg lasarett  </w:t>
      </w:r>
    </w:p>
    <w:p w:rsidR="00000000" w:rsidDel="00000000" w:rsidP="00000000" w:rsidRDefault="00000000" w:rsidRPr="00000000" w14:paraId="00000038">
      <w:pPr>
        <w:bidi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oskar.ljungquist@skane.se </w:t>
      </w:r>
    </w:p>
    <w:p w:rsidR="00000000" w:rsidDel="00000000" w:rsidP="00000000" w:rsidRDefault="00000000" w:rsidRPr="00000000" w14:paraId="00000039">
      <w:pPr>
        <w:bidi w:val="1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 042- 4063182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bidi w:val="1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274.91943359375" w:line="229.07501220703125" w:lineRule="auto"/>
        <w:ind w:left="21.1199951171875" w:right="3011.8084716796875" w:firstLine="0.24002075195312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1414653" cy="1321435"/>
            <wp:effectExtent b="0" l="0" r="0" t="0"/>
            <wp:wrapSquare wrapText="bothSides" distB="0" distT="0" distL="0" distR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4653" cy="1321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widowControl w:val="0"/>
        <w:spacing w:before="274.91943359375" w:line="229.07501220703125" w:lineRule="auto"/>
        <w:ind w:left="21.1199951171875" w:right="3011.8084716796875" w:firstLine="0.24002075195312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before="274.91943359375" w:line="229.07501220703125" w:lineRule="auto"/>
        <w:ind w:left="21.1199951171875" w:right="3011.8084716796875" w:firstLine="0.24002075195312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Information till patient med blod- eller njurbäckeninfektion  p.g.a ESBL-bildande bakterier  </w:t>
      </w:r>
    </w:p>
    <w:p w:rsidR="00000000" w:rsidDel="00000000" w:rsidP="00000000" w:rsidRDefault="00000000" w:rsidRPr="00000000" w14:paraId="00000040">
      <w:pPr>
        <w:widowControl w:val="0"/>
        <w:spacing w:before="1386.24267578125" w:line="229.57629203796387" w:lineRule="auto"/>
        <w:ind w:left="20.40008544921875" w:right="1893.8433837890625" w:firstLine="0.2400207519531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Behandling med pivmecillinam och amoxicillin/klavulansyra för blod- eller  njurbäckeninfektion p.g.a ESBL-bildande bakterie  </w:t>
      </w:r>
    </w:p>
    <w:p w:rsidR="00000000" w:rsidDel="00000000" w:rsidP="00000000" w:rsidRDefault="00000000" w:rsidRPr="00000000" w14:paraId="00000041">
      <w:pPr>
        <w:widowControl w:val="0"/>
        <w:spacing w:before="10.34423828125" w:line="240" w:lineRule="auto"/>
        <w:ind w:left="16.5600585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2">
      <w:pPr>
        <w:widowControl w:val="0"/>
        <w:spacing w:line="458.1499671936035" w:lineRule="auto"/>
        <w:ind w:left="20.40008544921875" w:right="2618.2000732421875" w:hanging="1.4399719238281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Jag har läst och förstått informationen och samtycker till att deltaga.  Detta innebär  </w:t>
      </w:r>
    </w:p>
    <w:p w:rsidR="00000000" w:rsidDel="00000000" w:rsidP="00000000" w:rsidRDefault="00000000" w:rsidRPr="00000000" w14:paraId="00000043">
      <w:pPr>
        <w:widowControl w:val="0"/>
        <w:spacing w:before="57.16796875" w:line="240" w:lineRule="auto"/>
        <w:ind w:left="29.760131835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att jag mottager den behandling jag är lottad till  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29.760131835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att jag medger att uppgifter om min infektion sparas </w:t>
      </w:r>
    </w:p>
    <w:p w:rsidR="00000000" w:rsidDel="00000000" w:rsidP="00000000" w:rsidRDefault="00000000" w:rsidRPr="00000000" w14:paraId="00000045">
      <w:pPr>
        <w:widowControl w:val="0"/>
        <w:spacing w:before="1375.3173828125" w:line="458.1499671936035" w:lineRule="auto"/>
        <w:ind w:left="20.39825439453125" w:right="2198.8006591796875" w:firstLine="23.0418395996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 ……………………………………. …………………. Datum Underskrift av patienten Personnummer  </w:t>
      </w:r>
    </w:p>
    <w:p w:rsidR="00000000" w:rsidDel="00000000" w:rsidP="00000000" w:rsidRDefault="00000000" w:rsidRPr="00000000" w14:paraId="00000046">
      <w:pPr>
        <w:widowControl w:val="0"/>
        <w:spacing w:before="1157.371826171875" w:line="240" w:lineRule="auto"/>
        <w:ind w:left="43.438262939453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 ……………………………………. </w:t>
      </w:r>
    </w:p>
    <w:p w:rsidR="00000000" w:rsidDel="00000000" w:rsidP="00000000" w:rsidRDefault="00000000" w:rsidRPr="00000000" w14:paraId="00000047">
      <w:pPr>
        <w:widowControl w:val="0"/>
        <w:spacing w:before="274.9200439453125" w:line="240" w:lineRule="auto"/>
        <w:ind w:left="20.39825439453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 Underskrift av den som informerat  </w:t>
      </w:r>
    </w:p>
    <w:p w:rsidR="00000000" w:rsidDel="00000000" w:rsidP="00000000" w:rsidRDefault="00000000" w:rsidRPr="00000000" w14:paraId="00000048">
      <w:pPr>
        <w:widowControl w:val="0"/>
        <w:spacing w:before="1100.3179931640625" w:line="240" w:lineRule="auto"/>
        <w:ind w:left="43.438262939453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 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20.638275146484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RedCap – ID </w:t>
      </w:r>
    </w:p>
    <w:p w:rsidR="00000000" w:rsidDel="00000000" w:rsidP="00000000" w:rsidRDefault="00000000" w:rsidRPr="00000000" w14:paraId="0000004A">
      <w:pPr>
        <w:bidi w:val="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gion@skane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+CDU2b76xMJs6ofV+gdQfMIug==">CgMxLjA4AHIhMXZ3S1FhVnhVUmVCYXN2Uy14S1k4UGhfMmxOYlptTXhR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